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SK1 2012 40 vom 6. November 2012</w:t>
      </w:r>
    </w:p>
    <w:p>
      <w:r>
        <w:t>GR Gerichte, 2012-11-06, DE</w:t>
      </w:r>
    </w:p>
    <w:p>
      <w:r>
        <w:rPr>
          <w:b/>
        </w:rPr>
        <w:t xml:space="preserve">Quelle: </w:t>
      </w:r>
      <w:r>
        <w:t>https://mcp.opencaselaw.ch/entscheid/gr_gerichte_SK1 2012 40</w:t>
      </w:r>
    </w:p>
    <w:p>
      <w:r>
        <w:t>FR: GR_GERICHTE SK1 2012 40 du 6 novembre 2012</w:t>
      </w:r>
    </w:p>
    <w:p>
      <w:r>
        <w:t>IT: GR_GERICHTE SK1 2012 40 del 6 novembre 2012</w:t>
      </w:r>
    </w:p>
    <w:p>
      <w:pPr>
        <w:pStyle w:val="Heading2"/>
      </w:pPr>
      <w:r>
        <w:t>Regeste</w:t>
      </w:r>
    </w:p>
    <w:p>
      <w:r>
        <w:t>Verletzung von Vorschriften der Strassenverkehrsgesetzgebung | Strassenverkehrsgesetz SVG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StPO; Art. 22 des Einführungsgesetzes zur Schweizerischen Strafprozessord- nung [EGzStPO; BR 350.100]). Nach Art. 399 Abs. 3 StPO reicht die Partei, die Berufung angemeldet hat, dem Kantonsgericht innert 20 Tagen seit der Zustellung des begründeten Urteils eine schriftliche Berufungserklärung ein, worin sie anzu- geben hat, ob sie das Urteil vollumfänglich oder nur in Teilen anficht (lit. a), welche Abänderungen des erstinstanzlichen Urteils sie verlangt (lit. b) und welche Be- weisanträge sie allenfalls stellt (lit. c).</w:t>
      </w:r>
    </w:p>
    <w:p>
      <w:r>
        <w:t>Seite 5 — 12 b) Gegen das Urteil des Bezirksgerichts Albula vom 24. April 2012 meldete X. am 8. Mai 2012 die Berufung an. Nach der Mitteilung des schriftlichen und be- gründeten Urteils am 20. August 2012 reichte er dem Kantonsgericht von Graubünden am 6. September 2012, und somit fristgerecht, die Berufungser- klärung ein, welche er am 4. Oktober 2012 begründete. Da die Berufung somit die an sie gestellten Form- und Fristanforderungen zu erfüllen vermag, wird darauf eingetreten. c) Im vorliegenden Fall bildet ausschliesslich eine Übertretung Gegenstand des vorinstanzlichen Verfahrens. Mit der Berufung kann somit nach Art. 398 Abs.</w:t>
      </w:r>
    </w:p>
    <w:p>
      <w:r>
        <w:rPr>
          <w:b/>
        </w:rPr>
        <w:t>E. 4</w:t>
      </w:r>
    </w:p>
    <w:p>
      <w:r>
        <w:t>In Anwendung von Art. 7 der Verordnung über die Gerichtsgebühren in Strafverfahren (VGS; BR 350.210) werden die Kosten des Berufungsverfahrens auf CHF 2‘000.- festgesetzt. Da die Rückweisung durch eine Unterlassung der Vorinstanz zustande kam, diese jedoch nicht als krasser Verfahrensfehler zu wer- ten ist, gehen die Kosten zu Lasten des Kantons Graubünden, welcher den Beru- fungskläger zudem mit CHF 1‘000.- inkl. MwSt. und Barauslagen für das Beru- fungsverfahren ausseramtlich zu entschädigen hat.</w:t>
      </w:r>
    </w:p>
    <w:p>
      <w:r>
        <w:t>Seite 12 — 12 III.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